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9CA6" w14:textId="77D7106B" w:rsidR="00D361B6" w:rsidRPr="00D361B6" w:rsidRDefault="00D361B6" w:rsidP="00D361B6">
      <w:pPr>
        <w:shd w:val="clear" w:color="auto" w:fill="FFFFFF"/>
        <w:spacing w:before="450"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484748"/>
          <w:kern w:val="36"/>
          <w:sz w:val="48"/>
          <w:szCs w:val="48"/>
          <w:lang w:eastAsia="it-IT"/>
        </w:rPr>
      </w:pPr>
      <w:r w:rsidRPr="00D361B6">
        <w:rPr>
          <w:rFonts w:ascii="Times New Roman" w:eastAsia="Times New Roman" w:hAnsi="Times New Roman" w:cs="Times New Roman"/>
          <w:b/>
          <w:bCs/>
          <w:color w:val="484748"/>
          <w:kern w:val="36"/>
          <w:sz w:val="48"/>
          <w:szCs w:val="48"/>
          <w:lang w:eastAsia="it-IT"/>
        </w:rPr>
        <w:t>Corrispettivi Elettronici - Import multiattività art.36</w:t>
      </w:r>
    </w:p>
    <w:p w14:paraId="4FD243AD" w14:textId="77777777" w:rsidR="00D361B6" w:rsidRPr="00D361B6" w:rsidRDefault="00D361B6" w:rsidP="00D361B6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484748"/>
          <w:sz w:val="24"/>
          <w:szCs w:val="24"/>
          <w:lang w:eastAsia="it-IT"/>
        </w:rPr>
      </w:pPr>
      <w:r w:rsidRPr="00D361B6">
        <w:rPr>
          <w:rFonts w:ascii="Times New Roman" w:eastAsia="Times New Roman" w:hAnsi="Times New Roman" w:cs="Times New Roman"/>
          <w:b/>
          <w:bCs/>
          <w:color w:val="484748"/>
          <w:sz w:val="24"/>
          <w:szCs w:val="24"/>
          <w:lang w:eastAsia="it-IT"/>
        </w:rPr>
        <w:t>La procedura di importazione dei corrispettivi è in grado di gestire anche le importazioni in aziende che operano in multiattività articolo 36?</w:t>
      </w:r>
    </w:p>
    <w:p w14:paraId="6F3092B3" w14:textId="781E71FF" w:rsidR="00863CC1" w:rsidRDefault="00D361B6">
      <w:pPr>
        <w:rPr>
          <w:rFonts w:ascii="Calibri" w:hAnsi="Calibri" w:cs="Calibri"/>
          <w:color w:val="474747"/>
          <w:shd w:val="clear" w:color="auto" w:fill="FFFFFF"/>
        </w:rPr>
      </w:pPr>
      <w:r>
        <w:rPr>
          <w:rFonts w:ascii="Calibri" w:hAnsi="Calibri" w:cs="Calibri"/>
          <w:color w:val="474747"/>
          <w:shd w:val="clear" w:color="auto" w:fill="FFFFFF"/>
        </w:rPr>
        <w:t>L’importazione è possibile perché, all'interno di ciascun file XML, i corrispettivi vengono suddivisi per </w:t>
      </w:r>
      <w:r>
        <w:rPr>
          <w:rFonts w:ascii="Calibri" w:hAnsi="Calibri" w:cs="Calibri"/>
          <w:i/>
          <w:iCs/>
          <w:color w:val="474747"/>
          <w:shd w:val="clear" w:color="auto" w:fill="FFFFFF"/>
        </w:rPr>
        <w:t>Codice Attività</w:t>
      </w:r>
      <w:r>
        <w:rPr>
          <w:rFonts w:ascii="Calibri" w:hAnsi="Calibri" w:cs="Calibri"/>
          <w:color w:val="474747"/>
          <w:shd w:val="clear" w:color="auto" w:fill="FFFFFF"/>
        </w:rPr>
        <w:t> dal Registratore Telematico.</w:t>
      </w:r>
      <w:r>
        <w:rPr>
          <w:rFonts w:ascii="Fira Sans" w:hAnsi="Fira Sans"/>
          <w:color w:val="484748"/>
          <w:sz w:val="18"/>
          <w:szCs w:val="18"/>
        </w:rPr>
        <w:br/>
      </w:r>
      <w:r>
        <w:rPr>
          <w:rFonts w:ascii="Calibri" w:hAnsi="Calibri" w:cs="Calibri"/>
          <w:color w:val="474747"/>
          <w:shd w:val="clear" w:color="auto" w:fill="FFFFFF"/>
        </w:rPr>
        <w:t>In fase di importazione la procedura va a ricercare l'azienda per Codice Attività all'interno della tabella «</w:t>
      </w:r>
      <w:r>
        <w:rPr>
          <w:rFonts w:ascii="Calibri" w:hAnsi="Calibri" w:cs="Calibri"/>
          <w:i/>
          <w:iCs/>
          <w:color w:val="474747"/>
          <w:shd w:val="clear" w:color="auto" w:fill="FFFFFF"/>
        </w:rPr>
        <w:t>Attività Articolo 36»</w:t>
      </w:r>
      <w:r>
        <w:rPr>
          <w:rFonts w:ascii="Calibri" w:hAnsi="Calibri" w:cs="Calibri"/>
          <w:color w:val="474747"/>
          <w:shd w:val="clear" w:color="auto" w:fill="FFFFFF"/>
        </w:rPr>
        <w:t>, presente nella scelta di menu </w:t>
      </w:r>
      <w:r>
        <w:rPr>
          <w:rFonts w:ascii="Calibri" w:hAnsi="Calibri" w:cs="Calibri"/>
          <w:b/>
          <w:bCs/>
          <w:color w:val="474747"/>
          <w:shd w:val="clear" w:color="auto" w:fill="FFFFFF"/>
        </w:rPr>
        <w:t xml:space="preserve">68-14 Novità </w:t>
      </w:r>
      <w:proofErr w:type="spellStart"/>
      <w:r>
        <w:rPr>
          <w:rFonts w:ascii="Calibri" w:hAnsi="Calibri" w:cs="Calibri"/>
          <w:b/>
          <w:bCs/>
          <w:color w:val="474747"/>
          <w:shd w:val="clear" w:color="auto" w:fill="FFFFFF"/>
        </w:rPr>
        <w:t>webdesk</w:t>
      </w:r>
      <w:proofErr w:type="spellEnd"/>
      <w:r>
        <w:rPr>
          <w:rFonts w:ascii="Calibri" w:hAnsi="Calibri" w:cs="Calibri"/>
          <w:b/>
          <w:bCs/>
          <w:color w:val="474747"/>
          <w:shd w:val="clear" w:color="auto" w:fill="FFFFFF"/>
        </w:rPr>
        <w:t>. </w:t>
      </w:r>
      <w:r>
        <w:rPr>
          <w:rFonts w:ascii="Calibri" w:hAnsi="Calibri" w:cs="Calibri"/>
          <w:color w:val="474747"/>
          <w:shd w:val="clear" w:color="auto" w:fill="FFFFFF"/>
        </w:rPr>
        <w:t xml:space="preserve">In questa </w:t>
      </w:r>
      <w:proofErr w:type="gramStart"/>
      <w:r>
        <w:rPr>
          <w:rFonts w:ascii="Calibri" w:hAnsi="Calibri" w:cs="Calibri"/>
          <w:color w:val="474747"/>
          <w:shd w:val="clear" w:color="auto" w:fill="FFFFFF"/>
        </w:rPr>
        <w:t>tabella infatti</w:t>
      </w:r>
      <w:proofErr w:type="gramEnd"/>
      <w:r>
        <w:rPr>
          <w:rFonts w:ascii="Calibri" w:hAnsi="Calibri" w:cs="Calibri"/>
          <w:color w:val="474747"/>
          <w:shd w:val="clear" w:color="auto" w:fill="FFFFFF"/>
        </w:rPr>
        <w:t xml:space="preserve"> vengono rilevate le attività secondarie, presenti su </w:t>
      </w:r>
      <w:proofErr w:type="spellStart"/>
      <w:r>
        <w:rPr>
          <w:rFonts w:ascii="Calibri" w:hAnsi="Calibri" w:cs="Calibri"/>
          <w:color w:val="474747"/>
          <w:shd w:val="clear" w:color="auto" w:fill="FFFFFF"/>
        </w:rPr>
        <w:t>webdesk</w:t>
      </w:r>
      <w:proofErr w:type="spellEnd"/>
      <w:r>
        <w:rPr>
          <w:rFonts w:ascii="Calibri" w:hAnsi="Calibri" w:cs="Calibri"/>
          <w:color w:val="474747"/>
          <w:shd w:val="clear" w:color="auto" w:fill="FFFFFF"/>
        </w:rPr>
        <w:t xml:space="preserve"> per una determinata azienda.</w:t>
      </w:r>
    </w:p>
    <w:p w14:paraId="43083E72" w14:textId="1229A58C" w:rsidR="00AC5E4A" w:rsidRDefault="00AC5E4A">
      <w:r w:rsidRPr="00AC5E4A">
        <w:drawing>
          <wp:inline distT="0" distB="0" distL="0" distR="0" wp14:anchorId="7E778039" wp14:editId="62C74833">
            <wp:extent cx="6120130" cy="27901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E6648" w14:textId="77777777" w:rsidR="00AC5E4A" w:rsidRPr="00AC5E4A" w:rsidRDefault="00AC5E4A" w:rsidP="00AC5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E4A">
        <w:rPr>
          <w:rFonts w:ascii="Calibri" w:eastAsia="Times New Roman" w:hAnsi="Calibri" w:cs="Calibri"/>
          <w:color w:val="474747"/>
          <w:sz w:val="24"/>
          <w:szCs w:val="24"/>
          <w:shd w:val="clear" w:color="auto" w:fill="FFFFFF"/>
          <w:lang w:eastAsia="it-IT"/>
        </w:rPr>
        <w:t>L'importazione viene eseguita per ciascuna delle attività presenti nella tabella. Anche in fase di visualizzazione della consegna, nella schermata di visualizzazione dei movimenti registrati, vengono esposti i dati relativi ai corrispettivi di ciascuna attività.</w:t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shd w:val="clear" w:color="auto" w:fill="FFFFFF"/>
          <w:lang w:eastAsia="it-IT"/>
        </w:rPr>
        <w:t> </w:t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Calibri" w:eastAsia="Times New Roman" w:hAnsi="Calibri" w:cs="Calibri"/>
          <w:color w:val="474747"/>
          <w:sz w:val="24"/>
          <w:szCs w:val="24"/>
          <w:shd w:val="clear" w:color="auto" w:fill="FFFFFF"/>
          <w:lang w:eastAsia="it-IT"/>
        </w:rPr>
        <w:t>Invece, per quanto concerne il </w:t>
      </w:r>
      <w:r w:rsidRPr="00AC5E4A">
        <w:rPr>
          <w:rFonts w:ascii="Calibri" w:eastAsia="Times New Roman" w:hAnsi="Calibri" w:cs="Calibri"/>
          <w:b/>
          <w:bCs/>
          <w:color w:val="474747"/>
          <w:sz w:val="24"/>
          <w:szCs w:val="24"/>
          <w:shd w:val="clear" w:color="auto" w:fill="FFFFFF"/>
          <w:lang w:eastAsia="it-IT"/>
        </w:rPr>
        <w:t>Dettaglio Pagamenti</w:t>
      </w:r>
      <w:r w:rsidRPr="00AC5E4A">
        <w:rPr>
          <w:rFonts w:ascii="Calibri" w:eastAsia="Times New Roman" w:hAnsi="Calibri" w:cs="Calibri"/>
          <w:color w:val="474747"/>
          <w:sz w:val="24"/>
          <w:szCs w:val="24"/>
          <w:shd w:val="clear" w:color="auto" w:fill="FFFFFF"/>
          <w:lang w:eastAsia="it-IT"/>
        </w:rPr>
        <w:t> e la relativa generazione dei </w:t>
      </w:r>
      <w:r w:rsidRPr="00AC5E4A">
        <w:rPr>
          <w:rFonts w:ascii="Calibri" w:eastAsia="Times New Roman" w:hAnsi="Calibri" w:cs="Calibri"/>
          <w:b/>
          <w:bCs/>
          <w:color w:val="474747"/>
          <w:sz w:val="24"/>
          <w:szCs w:val="24"/>
          <w:shd w:val="clear" w:color="auto" w:fill="FFFFFF"/>
          <w:lang w:eastAsia="it-IT"/>
        </w:rPr>
        <w:t>giroconti contabili</w:t>
      </w:r>
      <w:r w:rsidRPr="00AC5E4A">
        <w:rPr>
          <w:rFonts w:ascii="Calibri" w:eastAsia="Times New Roman" w:hAnsi="Calibri" w:cs="Calibri"/>
          <w:color w:val="474747"/>
          <w:sz w:val="24"/>
          <w:szCs w:val="24"/>
          <w:shd w:val="clear" w:color="auto" w:fill="FFFFFF"/>
          <w:lang w:eastAsia="it-IT"/>
        </w:rPr>
        <w:t>, questi </w:t>
      </w:r>
      <w:r w:rsidRPr="00AC5E4A">
        <w:rPr>
          <w:rFonts w:ascii="Calibri" w:eastAsia="Times New Roman" w:hAnsi="Calibri" w:cs="Calibri"/>
          <w:b/>
          <w:bCs/>
          <w:color w:val="474747"/>
          <w:sz w:val="24"/>
          <w:szCs w:val="24"/>
          <w:shd w:val="clear" w:color="auto" w:fill="FFFFFF"/>
          <w:lang w:eastAsia="it-IT"/>
        </w:rPr>
        <w:t>vengono gestiti sempre sull'azienda principale</w:t>
      </w:r>
      <w:r w:rsidRPr="00AC5E4A">
        <w:rPr>
          <w:rFonts w:ascii="Calibri" w:eastAsia="Times New Roman" w:hAnsi="Calibri" w:cs="Calibri"/>
          <w:color w:val="474747"/>
          <w:sz w:val="24"/>
          <w:szCs w:val="24"/>
          <w:shd w:val="clear" w:color="auto" w:fill="FFFFFF"/>
          <w:lang w:eastAsia="it-IT"/>
        </w:rPr>
        <w:t>, in quanto nel file XML l'importo incassato è suddiviso solo per tipologia di pagamento, ma non è ripartito per codice attività.</w:t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Calibri" w:eastAsia="Times New Roman" w:hAnsi="Calibri" w:cs="Calibri"/>
          <w:color w:val="474747"/>
          <w:sz w:val="24"/>
          <w:szCs w:val="24"/>
          <w:shd w:val="clear" w:color="auto" w:fill="FFFFFF"/>
          <w:lang w:eastAsia="it-IT"/>
        </w:rPr>
        <w:t>Sulla procedura, infatti, in fase di importazione corrispettivi, nella visualizzazione dei movimenti importati dell’attività secondaria, verranno esposti solamente i righi inerenti la registrazione del Corrispettivo e non saranno presenti quelli relativi al Pagamento (ad esempio Contanti e/o Pagamento Elettronico), che saranno invece esposti nei movimenti relativi all'attività principale.</w:t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La mancata distinzione degli incassi nel file XML,  implica da parte della procedura una doppia registrazione, eseguita in modo automatico sulla principale, per quanto concerne gli incassi:</w:t>
      </w:r>
    </w:p>
    <w:p w14:paraId="4B068843" w14:textId="77777777" w:rsidR="00AC5E4A" w:rsidRPr="00AC5E4A" w:rsidRDefault="00AC5E4A" w:rsidP="00AC5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</w:pPr>
      <w:r w:rsidRPr="00AC5E4A">
        <w:rPr>
          <w:rFonts w:ascii="Calibri" w:eastAsia="Times New Roman" w:hAnsi="Calibri" w:cs="Calibri"/>
          <w:color w:val="474747"/>
          <w:lang w:eastAsia="it-IT"/>
        </w:rPr>
        <w:t>la prima, per l'incasso totale</w:t>
      </w:r>
    </w:p>
    <w:p w14:paraId="54A63D58" w14:textId="77777777" w:rsidR="00AC5E4A" w:rsidRPr="00AC5E4A" w:rsidRDefault="00AC5E4A" w:rsidP="00AC5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</w:pPr>
      <w:r w:rsidRPr="00AC5E4A">
        <w:rPr>
          <w:rFonts w:ascii="Calibri" w:eastAsia="Times New Roman" w:hAnsi="Calibri" w:cs="Calibri"/>
          <w:color w:val="474747"/>
          <w:lang w:eastAsia="it-IT"/>
        </w:rPr>
        <w:t>la seconda con i giroconti complessivi di tutte le attività.</w:t>
      </w:r>
    </w:p>
    <w:p w14:paraId="62C0973E" w14:textId="17CF3A28" w:rsidR="00AC5E4A" w:rsidRDefault="00AC5E4A" w:rsidP="00AC5E4A">
      <w:pPr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</w:pP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lastRenderedPageBreak/>
        <w:br/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Per questo motivo in fase di importazione dei corrispettivi Articolo 36, all'interno della funzione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MR -Manutenzione Registri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, la procedura va ad impostare in modo automatico il valore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97 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al campo </w:t>
      </w:r>
      <w:proofErr w:type="spellStart"/>
      <w:r w:rsidRPr="00AC5E4A">
        <w:rPr>
          <w:rFonts w:ascii="Calibri" w:eastAsia="Times New Roman" w:hAnsi="Calibri" w:cs="Calibri"/>
          <w:i/>
          <w:iCs/>
          <w:color w:val="474747"/>
          <w:u w:val="single"/>
          <w:shd w:val="clear" w:color="auto" w:fill="FFFFFF"/>
          <w:lang w:eastAsia="it-IT"/>
        </w:rPr>
        <w:t>Cod.disattivazione</w:t>
      </w:r>
      <w:proofErr w:type="spellEnd"/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,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 su tutte le aziende dell'Articolo 36.</w:t>
      </w:r>
      <w:r w:rsidRPr="00AC5E4A"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  <w:br/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Con il </w:t>
      </w:r>
      <w:r w:rsidRPr="00AC5E4A">
        <w:rPr>
          <w:rFonts w:ascii="Calibri" w:eastAsia="Times New Roman" w:hAnsi="Calibri" w:cs="Calibri"/>
          <w:i/>
          <w:iCs/>
          <w:color w:val="474747"/>
          <w:shd w:val="clear" w:color="auto" w:fill="FFFFFF"/>
          <w:lang w:eastAsia="it-IT"/>
        </w:rPr>
        <w:t>cod. disattivazione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97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 la funzione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CG - Corrispettivi Giornalieri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 potrà essere utilizzata solo in visualizzazione (solo per consultare i dati importati), mentre la manutenzione dei movimenti dovrà essere effettuata dalla scelta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MP -Manutenzione Prima Nota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.</w:t>
      </w:r>
    </w:p>
    <w:p w14:paraId="03F6E069" w14:textId="280A6497" w:rsidR="00AC5E4A" w:rsidRDefault="00AC5E4A" w:rsidP="00AC5E4A">
      <w:r w:rsidRPr="00AC5E4A">
        <w:drawing>
          <wp:inline distT="0" distB="0" distL="0" distR="0" wp14:anchorId="17FAF1D6" wp14:editId="31FF3E6B">
            <wp:extent cx="6120130" cy="215709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C6E7" w14:textId="71F861C8" w:rsidR="00AC5E4A" w:rsidRDefault="00AC5E4A" w:rsidP="00AC5E4A"/>
    <w:p w14:paraId="6F10DB18" w14:textId="77777777" w:rsidR="00AC5E4A" w:rsidRPr="00AC5E4A" w:rsidRDefault="00AC5E4A" w:rsidP="00AC5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Con la Release 20.50 sono state inoltre implementate le seguenti funzionalità:</w:t>
      </w:r>
    </w:p>
    <w:p w14:paraId="74B20A06" w14:textId="77777777" w:rsidR="00AC5E4A" w:rsidRPr="00AC5E4A" w:rsidRDefault="00AC5E4A" w:rsidP="00AC5E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1200" w:hanging="432"/>
        <w:jc w:val="both"/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</w:pPr>
      <w:r w:rsidRPr="00AC5E4A">
        <w:rPr>
          <w:rFonts w:ascii="Calibri" w:eastAsia="Times New Roman" w:hAnsi="Calibri" w:cs="Calibri"/>
          <w:color w:val="474747"/>
          <w:lang w:eastAsia="it-IT"/>
        </w:rPr>
        <w:t>        è possibile </w:t>
      </w:r>
      <w:r w:rsidRPr="00AC5E4A">
        <w:rPr>
          <w:rFonts w:ascii="Calibri" w:eastAsia="Times New Roman" w:hAnsi="Calibri" w:cs="Calibri"/>
          <w:b/>
          <w:bCs/>
          <w:color w:val="474747"/>
          <w:lang w:eastAsia="it-IT"/>
        </w:rPr>
        <w:t>effettuare l'importazione dei Corrispettivi telematici in presenza dei Cod. disattivazione 97 (come sopra esposto), 98 e 99</w:t>
      </w:r>
      <w:r w:rsidRPr="00AC5E4A">
        <w:rPr>
          <w:rFonts w:ascii="Calibri" w:eastAsia="Times New Roman" w:hAnsi="Calibri" w:cs="Calibri"/>
          <w:color w:val="474747"/>
          <w:lang w:eastAsia="it-IT"/>
        </w:rPr>
        <w:t>, presenti nella funzione MR - Manutenzione Registri;</w:t>
      </w:r>
    </w:p>
    <w:p w14:paraId="6D376E01" w14:textId="77777777" w:rsidR="00AC5E4A" w:rsidRPr="00AC5E4A" w:rsidRDefault="00AC5E4A" w:rsidP="00AC5E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1200" w:hanging="432"/>
        <w:jc w:val="both"/>
        <w:rPr>
          <w:rFonts w:ascii="Fira Sans" w:eastAsia="Times New Roman" w:hAnsi="Fira Sans" w:cs="Times New Roman"/>
          <w:color w:val="484748"/>
          <w:sz w:val="18"/>
          <w:szCs w:val="18"/>
          <w:lang w:eastAsia="it-IT"/>
        </w:rPr>
      </w:pPr>
      <w:r w:rsidRPr="00AC5E4A">
        <w:rPr>
          <w:rFonts w:ascii="Calibri" w:eastAsia="Times New Roman" w:hAnsi="Calibri" w:cs="Calibri"/>
          <w:color w:val="474747"/>
          <w:lang w:eastAsia="it-IT"/>
        </w:rPr>
        <w:t>        nel caso in cui nello </w:t>
      </w:r>
      <w:r w:rsidRPr="00AC5E4A">
        <w:rPr>
          <w:rFonts w:ascii="Calibri" w:eastAsia="Times New Roman" w:hAnsi="Calibri" w:cs="Calibri"/>
          <w:b/>
          <w:bCs/>
          <w:color w:val="474747"/>
          <w:lang w:eastAsia="it-IT"/>
        </w:rPr>
        <w:t>stesso file XML </w:t>
      </w:r>
      <w:r w:rsidRPr="00AC5E4A">
        <w:rPr>
          <w:rFonts w:ascii="Calibri" w:eastAsia="Times New Roman" w:hAnsi="Calibri" w:cs="Calibri"/>
          <w:color w:val="474747"/>
          <w:lang w:eastAsia="it-IT"/>
        </w:rPr>
        <w:t>siano presenti sia </w:t>
      </w:r>
      <w:r w:rsidRPr="00AC5E4A">
        <w:rPr>
          <w:rFonts w:ascii="Calibri" w:eastAsia="Times New Roman" w:hAnsi="Calibri" w:cs="Calibri"/>
          <w:b/>
          <w:bCs/>
          <w:color w:val="474747"/>
          <w:lang w:eastAsia="it-IT"/>
        </w:rPr>
        <w:t>corrispettivi a scorporo </w:t>
      </w:r>
      <w:r w:rsidRPr="00AC5E4A">
        <w:rPr>
          <w:rFonts w:ascii="Calibri" w:eastAsia="Times New Roman" w:hAnsi="Calibri" w:cs="Calibri"/>
          <w:color w:val="474747"/>
          <w:lang w:eastAsia="it-IT"/>
        </w:rPr>
        <w:t>che </w:t>
      </w:r>
      <w:r w:rsidRPr="00AC5E4A">
        <w:rPr>
          <w:rFonts w:ascii="Calibri" w:eastAsia="Times New Roman" w:hAnsi="Calibri" w:cs="Calibri"/>
          <w:b/>
          <w:bCs/>
          <w:color w:val="474747"/>
          <w:lang w:eastAsia="it-IT"/>
        </w:rPr>
        <w:t>corrispettivi a ventilazione, la procedura è in grado di gestire l’importazione di tali file in modo completo</w:t>
      </w:r>
      <w:r w:rsidRPr="00AC5E4A">
        <w:rPr>
          <w:rFonts w:ascii="Calibri" w:eastAsia="Times New Roman" w:hAnsi="Calibri" w:cs="Calibri"/>
          <w:color w:val="474747"/>
          <w:lang w:eastAsia="it-IT"/>
        </w:rPr>
        <w:t>, andando a generare sia il movimento di corrispettivo e sia il giroconto relativo ai pagamenti.</w:t>
      </w:r>
    </w:p>
    <w:p w14:paraId="60CC3C00" w14:textId="5ABEB541" w:rsidR="00AC5E4A" w:rsidRDefault="00AC5E4A" w:rsidP="00AC5E4A">
      <w:pPr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</w:pP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Per la funzionalità 2, poter eseguire il giroconto contabile, è necessario verificare la tabella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CONSULTAZIONE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PARAMETRI</w:t>
      </w:r>
      <w:r w:rsidRPr="00AC5E4A">
        <w:rPr>
          <w:rFonts w:ascii="Calibri" w:eastAsia="Times New Roman" w:hAnsi="Calibri" w:cs="Calibri"/>
          <w:color w:val="474747"/>
          <w:shd w:val="clear" w:color="auto" w:fill="FFFFFF"/>
          <w:lang w:eastAsia="it-IT"/>
        </w:rPr>
        <w:t> all'interno della scelta </w:t>
      </w:r>
      <w:r w:rsidRPr="00AC5E4A">
        <w:rPr>
          <w:rFonts w:ascii="Calibri" w:eastAsia="Times New Roman" w:hAnsi="Calibri" w:cs="Calibri"/>
          <w:b/>
          <w:bCs/>
          <w:color w:val="474747"/>
          <w:shd w:val="clear" w:color="auto" w:fill="FFFFFF"/>
          <w:lang w:eastAsia="it-IT"/>
        </w:rPr>
        <w:t>CG - Corrispettivi Giornalieri:</w:t>
      </w:r>
    </w:p>
    <w:p w14:paraId="613C6B08" w14:textId="19271C2D" w:rsidR="00AC5E4A" w:rsidRDefault="00AC5E4A" w:rsidP="00AC5E4A">
      <w:r w:rsidRPr="00AC5E4A">
        <w:drawing>
          <wp:inline distT="0" distB="0" distL="0" distR="0" wp14:anchorId="38A55297" wp14:editId="3B9D35D6">
            <wp:extent cx="3221121" cy="10858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1295" cy="10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9E20" w14:textId="009FF069" w:rsidR="00AC5E4A" w:rsidRDefault="00AC5E4A" w:rsidP="00AC5E4A">
      <w:r>
        <w:rPr>
          <w:rFonts w:ascii="Calibri" w:hAnsi="Calibri" w:cs="Calibri"/>
          <w:color w:val="474747"/>
          <w:shd w:val="clear" w:color="auto" w:fill="FFFFFF"/>
        </w:rPr>
        <w:t>il primo conto della tabella </w:t>
      </w:r>
      <w:r>
        <w:rPr>
          <w:rFonts w:ascii="Calibri" w:hAnsi="Calibri" w:cs="Calibri"/>
          <w:color w:val="474747"/>
          <w:u w:val="single"/>
          <w:shd w:val="clear" w:color="auto" w:fill="FFFFFF"/>
        </w:rPr>
        <w:t>Conti di Credito</w:t>
      </w:r>
      <w:r>
        <w:rPr>
          <w:rFonts w:ascii="Calibri" w:hAnsi="Calibri" w:cs="Calibri"/>
          <w:color w:val="474747"/>
          <w:shd w:val="clear" w:color="auto" w:fill="FFFFFF"/>
        </w:rPr>
        <w:t> della causale 301 deve essere lo stesso di quello impostato nella tabella della causale 300.</w:t>
      </w:r>
      <w:r>
        <w:rPr>
          <w:rFonts w:ascii="Fira Sans" w:hAnsi="Fira Sans"/>
          <w:color w:val="484748"/>
          <w:sz w:val="18"/>
          <w:szCs w:val="18"/>
        </w:rPr>
        <w:br/>
      </w:r>
      <w:r>
        <w:rPr>
          <w:rFonts w:ascii="Calibri" w:hAnsi="Calibri" w:cs="Calibri"/>
          <w:color w:val="474747"/>
          <w:shd w:val="clear" w:color="auto" w:fill="FFFFFF"/>
        </w:rPr>
        <w:t>Anche in quest’ultima casistica, la procedura, in fase di prima importazione dei corrispettivi, andrà ad impostare in automatico il valore </w:t>
      </w:r>
      <w:r>
        <w:rPr>
          <w:rFonts w:ascii="Calibri" w:hAnsi="Calibri" w:cs="Calibri"/>
          <w:b/>
          <w:bCs/>
          <w:color w:val="474747"/>
          <w:shd w:val="clear" w:color="auto" w:fill="FFFFFF"/>
        </w:rPr>
        <w:t>97</w:t>
      </w:r>
      <w:r>
        <w:rPr>
          <w:rFonts w:ascii="Calibri" w:hAnsi="Calibri" w:cs="Calibri"/>
          <w:color w:val="474747"/>
          <w:shd w:val="clear" w:color="auto" w:fill="FFFFFF"/>
        </w:rPr>
        <w:t> nella Manutenzione Registri sull'azienda in trattamento.</w:t>
      </w:r>
    </w:p>
    <w:sectPr w:rsidR="00AC5E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1996"/>
    <w:multiLevelType w:val="multilevel"/>
    <w:tmpl w:val="AC0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493D08"/>
    <w:multiLevelType w:val="multilevel"/>
    <w:tmpl w:val="41C2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17396">
    <w:abstractNumId w:val="0"/>
  </w:num>
  <w:num w:numId="2" w16cid:durableId="145224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35"/>
    <w:rsid w:val="00787635"/>
    <w:rsid w:val="00863CC1"/>
    <w:rsid w:val="00AC5E4A"/>
    <w:rsid w:val="00D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8E44"/>
  <w15:chartTrackingRefBased/>
  <w15:docId w15:val="{4AFF20FC-93F4-473F-84CF-2EE0DC4D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Panico</dc:creator>
  <cp:keywords/>
  <dc:description/>
  <cp:lastModifiedBy>Luca Panico</cp:lastModifiedBy>
  <cp:revision>2</cp:revision>
  <dcterms:created xsi:type="dcterms:W3CDTF">2022-05-05T16:17:00Z</dcterms:created>
  <dcterms:modified xsi:type="dcterms:W3CDTF">2022-05-05T16:26:00Z</dcterms:modified>
</cp:coreProperties>
</file>